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560" w:lineRule="exact"/>
        <w:ind w:left="948" w:hanging="1422" w:hangingChars="295"/>
        <w:jc w:val="center"/>
        <w:rPr>
          <w:rFonts w:hint="eastAsia" w:asciiTheme="minorEastAsia" w:hAnsiTheme="minorEastAsia" w:eastAsiaTheme="minorEastAsia" w:cstheme="minorEastAsia"/>
          <w:b/>
          <w:sz w:val="48"/>
          <w:szCs w:val="48"/>
        </w:rPr>
      </w:pPr>
      <w:r>
        <w:rPr>
          <w:rFonts w:hint="eastAsia" w:asciiTheme="minorEastAsia" w:hAnsiTheme="minorEastAsia" w:eastAsiaTheme="minorEastAsia" w:cstheme="minorEastAsia"/>
          <w:b/>
          <w:sz w:val="48"/>
          <w:szCs w:val="48"/>
        </w:rPr>
        <w:t>2021年全国职业院校技能大赛高职组“电子商务技能”</w:t>
      </w:r>
    </w:p>
    <w:p>
      <w:pPr>
        <w:pStyle w:val="6"/>
        <w:spacing w:before="936" w:beforeLines="300" w:after="468" w:afterLines="150" w:line="560" w:lineRule="exact"/>
        <w:ind w:left="888" w:hanging="1303" w:hangingChars="295"/>
        <w:jc w:val="both"/>
        <w:rPr>
          <w:rFonts w:hint="eastAsia" w:asciiTheme="minorEastAsia" w:hAnsiTheme="minorEastAsia" w:eastAsiaTheme="minorEastAsia" w:cstheme="minorEastAsia"/>
          <w:b/>
          <w:kern w:val="0"/>
          <w:sz w:val="44"/>
          <w:szCs w:val="44"/>
        </w:rPr>
      </w:pPr>
      <w:r>
        <w:rPr>
          <w:rFonts w:hint="eastAsia" w:asciiTheme="minorEastAsia" w:hAnsiTheme="minorEastAsia" w:eastAsiaTheme="minorEastAsia" w:cstheme="minorEastAsia"/>
          <w:b/>
          <w:kern w:val="0"/>
          <w:sz w:val="44"/>
          <w:szCs w:val="44"/>
        </w:rPr>
        <w:t>第6套赛卷</w:t>
      </w:r>
    </w:p>
    <w:p>
      <w:pPr>
        <w:pStyle w:val="2"/>
        <w:bidi w:val="0"/>
        <w:rPr>
          <w:rFonts w:hint="eastAsia" w:asciiTheme="minorEastAsia" w:hAnsiTheme="minorEastAsia" w:eastAsiaTheme="minorEastAsia" w:cstheme="minorEastAsia"/>
          <w:lang w:val="en-US" w:eastAsia="zh-CN"/>
        </w:rPr>
      </w:pPr>
      <w:bookmarkStart w:id="0" w:name="_Toc19658"/>
      <w:r>
        <w:rPr>
          <w:rFonts w:hint="eastAsia" w:asciiTheme="minorEastAsia" w:hAnsiTheme="minorEastAsia" w:eastAsiaTheme="minorEastAsia" w:cstheme="minorEastAsia"/>
          <w:lang w:val="en-US" w:eastAsia="zh-CN"/>
        </w:rPr>
        <w:t>一</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val="en-US" w:eastAsia="zh-CN"/>
        </w:rPr>
        <w:t>网店直播营销</w:t>
      </w:r>
      <w:bookmarkEnd w:id="0"/>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一</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分值：25分</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二</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竞赛时间：120分钟</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三</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背景资料</w:t>
      </w:r>
    </w:p>
    <w:p>
      <w:pPr>
        <w:spacing w:line="360" w:lineRule="auto"/>
        <w:ind w:firstLine="560" w:firstLineChars="200"/>
        <w:jc w:val="left"/>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方正</w:t>
      </w:r>
      <w:r>
        <w:rPr>
          <w:rFonts w:hint="eastAsia" w:asciiTheme="minorEastAsia" w:hAnsiTheme="minorEastAsia" w:cstheme="minorEastAsia"/>
          <w:color w:val="000000"/>
          <w:sz w:val="28"/>
          <w:szCs w:val="28"/>
          <w:lang w:val="en-US" w:eastAsia="zh-CN"/>
        </w:rPr>
        <w:t>经营着一家网店</w:t>
      </w:r>
      <w:bookmarkStart w:id="2" w:name="_GoBack"/>
      <w:bookmarkEnd w:id="2"/>
      <w:r>
        <w:rPr>
          <w:rFonts w:hint="eastAsia" w:asciiTheme="minorEastAsia" w:hAnsiTheme="minorEastAsia" w:eastAsiaTheme="minorEastAsia" w:cstheme="minorEastAsia"/>
          <w:color w:val="000000"/>
          <w:sz w:val="28"/>
          <w:szCs w:val="28"/>
        </w:rPr>
        <w:t>“方正玩具店”，主要销售各式各样的儿童玩具。店铺的商品适合3-12岁儿童，日常销量还不错。马上就是双十一大促了，方正打算进行一场直播，精心挑选了两款福利商品，回馈店铺的新老粉丝。</w:t>
      </w:r>
    </w:p>
    <w:p>
      <w:pPr>
        <w:spacing w:line="360" w:lineRule="auto"/>
        <w:ind w:firstLine="560" w:firstLineChars="200"/>
        <w:jc w:val="left"/>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请你以方正的身份，根据背景介绍以及商品资料，在2小时内策划一场10分钟的直播，并进行直播演示。</w:t>
      </w:r>
    </w:p>
    <w:p>
      <w:pPr>
        <w:spacing w:line="360" w:lineRule="auto"/>
        <w:ind w:firstLine="560" w:firstLineChars="200"/>
        <w:jc w:val="left"/>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两款商品的介绍如下：</w:t>
      </w:r>
    </w:p>
    <w:p>
      <w:pPr>
        <w:pStyle w:val="4"/>
        <w:bidi w:val="0"/>
        <w:ind w:firstLine="643" w:firstLineChars="200"/>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1、</w:t>
      </w:r>
      <w:r>
        <w:rPr>
          <w:rFonts w:hint="eastAsia" w:asciiTheme="minorEastAsia" w:hAnsiTheme="minorEastAsia" w:eastAsiaTheme="minorEastAsia" w:cstheme="minorEastAsia"/>
          <w:lang w:val="en-US" w:eastAsia="zh-CN"/>
        </w:rPr>
        <w:t>立体拼图</w:t>
      </w:r>
    </w:p>
    <w:p>
      <w:pPr>
        <w:snapToGrid w:val="0"/>
        <w:spacing w:line="560" w:lineRule="exact"/>
        <w:ind w:firstLine="560" w:firstLineChars="200"/>
        <w:jc w:val="left"/>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立体拼图包括由空腔立体</w:t>
      </w:r>
      <w:r>
        <w:rPr>
          <w:rFonts w:hint="eastAsia" w:asciiTheme="minorEastAsia" w:hAnsiTheme="minorEastAsia" w:cstheme="minorEastAsia"/>
          <w:kern w:val="0"/>
          <w:sz w:val="28"/>
          <w:szCs w:val="28"/>
          <w:lang w:eastAsia="zh-CN"/>
        </w:rPr>
        <w:t>商品</w:t>
      </w:r>
      <w:r>
        <w:rPr>
          <w:rFonts w:hint="eastAsia" w:asciiTheme="minorEastAsia" w:hAnsiTheme="minorEastAsia" w:eastAsiaTheme="minorEastAsia" w:cstheme="minorEastAsia"/>
          <w:kern w:val="0"/>
          <w:sz w:val="28"/>
          <w:szCs w:val="28"/>
        </w:rPr>
        <w:t>分割成的多个片体，利用片体拼装成立体</w:t>
      </w:r>
      <w:r>
        <w:rPr>
          <w:rFonts w:hint="eastAsia" w:asciiTheme="minorEastAsia" w:hAnsiTheme="minorEastAsia" w:cstheme="minorEastAsia"/>
          <w:kern w:val="0"/>
          <w:sz w:val="28"/>
          <w:szCs w:val="28"/>
          <w:lang w:eastAsia="zh-CN"/>
        </w:rPr>
        <w:t>商品</w:t>
      </w:r>
      <w:r>
        <w:rPr>
          <w:rFonts w:hint="eastAsia" w:asciiTheme="minorEastAsia" w:hAnsiTheme="minorEastAsia" w:eastAsiaTheme="minorEastAsia" w:cstheme="minorEastAsia"/>
          <w:kern w:val="0"/>
          <w:sz w:val="28"/>
          <w:szCs w:val="28"/>
        </w:rPr>
        <w:t>，提高了拼图的趣味性和难度，兼具智力与耐心的考验，无需辅助工具，拼装方便、安全，极具趣味性、教育性。</w:t>
      </w:r>
    </w:p>
    <w:p>
      <w:pPr>
        <w:pStyle w:val="4"/>
        <w:bidi w:val="0"/>
        <w:ind w:firstLine="643" w:firstLineChars="200"/>
        <w:rPr>
          <w:rFonts w:hint="eastAsia" w:asciiTheme="minorEastAsia" w:hAnsiTheme="minorEastAsia" w:cstheme="minorEastAsia"/>
          <w:lang w:val="en-US" w:eastAsia="zh-CN"/>
        </w:rPr>
      </w:pPr>
      <w:r>
        <w:rPr>
          <w:rFonts w:hint="eastAsia" w:asciiTheme="minorEastAsia" w:hAnsiTheme="minorEastAsia" w:cstheme="minorEastAsia"/>
          <w:lang w:val="en-US" w:eastAsia="zh-CN"/>
        </w:rPr>
        <w:t>2、太空泥</w:t>
      </w:r>
    </w:p>
    <w:p>
      <w:pPr>
        <w:snapToGrid w:val="0"/>
        <w:spacing w:line="560" w:lineRule="exact"/>
        <w:ind w:firstLine="560" w:firstLineChars="200"/>
        <w:jc w:val="left"/>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太空泥是彩色的泥巴，超轻粘土</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无毒无味</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类似于橡皮泥</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但橡皮泥干了会裂开</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而太空泥自然晾干后</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手感照样有点软软的</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有点</w:t>
      </w:r>
      <w:r>
        <w:rPr>
          <w:rFonts w:hint="eastAsia" w:asciiTheme="minorEastAsia" w:hAnsiTheme="minorEastAsia" w:cstheme="minorEastAsia"/>
          <w:kern w:val="0"/>
          <w:sz w:val="28"/>
          <w:szCs w:val="28"/>
          <w:lang w:val="en-US" w:eastAsia="zh-CN"/>
        </w:rPr>
        <w:t>像</w:t>
      </w:r>
      <w:r>
        <w:rPr>
          <w:rFonts w:hint="eastAsia" w:asciiTheme="minorEastAsia" w:hAnsiTheme="minorEastAsia" w:eastAsiaTheme="minorEastAsia" w:cstheme="minorEastAsia"/>
          <w:kern w:val="0"/>
          <w:sz w:val="28"/>
          <w:szCs w:val="28"/>
        </w:rPr>
        <w:t>海绵，可风干定型。</w:t>
      </w:r>
    </w:p>
    <w:p>
      <w:pPr>
        <w:pStyle w:val="3"/>
        <w:bidi w:val="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（四</w:t>
      </w:r>
      <w:r>
        <w:rPr>
          <w:rFonts w:hint="eastAsia" w:asciiTheme="minorEastAsia" w:hAnsiTheme="minorEastAsia" w:eastAsiaTheme="minorEastAsia" w:cstheme="minorEastAsia"/>
          <w:lang w:eastAsia="zh-CN"/>
        </w:rPr>
        <w:t>）具体考核要求</w:t>
      </w:r>
    </w:p>
    <w:p>
      <w:pPr>
        <w:pStyle w:val="4"/>
        <w:bidi w:val="0"/>
        <w:ind w:firstLine="643"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1、直播营销策划</w:t>
      </w:r>
    </w:p>
    <w:p>
      <w:pPr>
        <w:pStyle w:val="5"/>
        <w:bidi w:val="0"/>
        <w:ind w:firstLine="562" w:firstLineChars="20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（1）直播商品购买页面设置</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要求：根据背景资料，为两款直播商品各选择5张主图以及</w:t>
      </w:r>
      <w:r>
        <w:rPr>
          <w:rFonts w:hint="eastAsia" w:asciiTheme="minorEastAsia" w:hAnsiTheme="minorEastAsia" w:cstheme="minorEastAsia"/>
          <w:kern w:val="0"/>
          <w:sz w:val="28"/>
          <w:szCs w:val="28"/>
          <w:lang w:val="en-US" w:eastAsia="zh-CN"/>
        </w:rPr>
        <w:t>6张</w:t>
      </w:r>
      <w:r>
        <w:rPr>
          <w:rFonts w:hint="eastAsia" w:asciiTheme="minorEastAsia" w:hAnsiTheme="minorEastAsia" w:eastAsiaTheme="minorEastAsia" w:cstheme="minorEastAsia"/>
          <w:kern w:val="0"/>
          <w:sz w:val="28"/>
          <w:szCs w:val="28"/>
        </w:rPr>
        <w:t>详情描述图，并为每款商品设置符合背景资料介绍的标题。</w:t>
      </w:r>
    </w:p>
    <w:p>
      <w:pPr>
        <w:pStyle w:val="5"/>
        <w:bidi w:val="0"/>
        <w:ind w:firstLine="562" w:firstLineChars="20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（2）直播时长策划</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要求：直播时长要</w:t>
      </w:r>
      <w:r>
        <w:rPr>
          <w:rFonts w:hint="eastAsia" w:asciiTheme="minorEastAsia" w:hAnsiTheme="minorEastAsia" w:cstheme="minorEastAsia"/>
          <w:kern w:val="0"/>
          <w:sz w:val="28"/>
          <w:szCs w:val="28"/>
          <w:lang w:val="en-US" w:eastAsia="zh-CN"/>
        </w:rPr>
        <w:t>达到</w:t>
      </w:r>
      <w:r>
        <w:rPr>
          <w:rFonts w:hint="eastAsia" w:asciiTheme="minorEastAsia" w:hAnsiTheme="minorEastAsia" w:eastAsiaTheme="minorEastAsia" w:cstheme="minorEastAsia"/>
          <w:kern w:val="0"/>
          <w:sz w:val="28"/>
          <w:szCs w:val="28"/>
        </w:rPr>
        <w:t>10分钟。</w:t>
      </w:r>
    </w:p>
    <w:p>
      <w:pPr>
        <w:pStyle w:val="5"/>
        <w:bidi w:val="0"/>
        <w:ind w:firstLine="562" w:firstLineChars="20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（3）直播商品链接关联</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要求：讲解的商品正确关联商品链接。</w:t>
      </w:r>
    </w:p>
    <w:p>
      <w:pPr>
        <w:pStyle w:val="4"/>
        <w:bidi w:val="0"/>
        <w:ind w:firstLine="643" w:firstLineChars="200"/>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2、</w:t>
      </w:r>
      <w:r>
        <w:rPr>
          <w:rFonts w:hint="eastAsia" w:asciiTheme="minorEastAsia" w:hAnsiTheme="minorEastAsia" w:eastAsiaTheme="minorEastAsia" w:cstheme="minorEastAsia"/>
          <w:lang w:val="en-US" w:eastAsia="zh-CN"/>
        </w:rPr>
        <w:t>直播实施</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直播画面始终围绕主播或竞赛商品，画面清晰明亮；直播过程中没有10秒以上的卡顿、冷场。</w:t>
      </w:r>
    </w:p>
    <w:p>
      <w:pPr>
        <w:pStyle w:val="5"/>
        <w:bidi w:val="0"/>
        <w:ind w:firstLine="562" w:firstLineChars="20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（1）直播开场</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要求：包含问好、自我介绍、本次直播计划、促销活动四项内容。</w:t>
      </w:r>
    </w:p>
    <w:p>
      <w:pPr>
        <w:pStyle w:val="5"/>
        <w:bidi w:val="0"/>
        <w:ind w:firstLine="562" w:firstLineChars="20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（2）商品介绍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有商品属性、特色、卖点的介绍，有商品日常价格、直播促销价的说明，有商品的特写展示。同时，要回答弹幕中出现的相关问题，每个商品需要回答3个问题，每个问题回答时间为20秒，回答内容要与背景资料一致。</w:t>
      </w:r>
    </w:p>
    <w:p>
      <w:pPr>
        <w:pStyle w:val="5"/>
        <w:bidi w:val="0"/>
        <w:ind w:firstLine="562" w:firstLineChars="20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（3）直播结尾</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要求：结尾需要包含引导关注、感谢语两项内容。</w:t>
      </w:r>
    </w:p>
    <w:p>
      <w:pPr>
        <w:pStyle w:val="2"/>
        <w:rPr>
          <w:rFonts w:ascii="Times New Roman" w:hAnsi="Times New Roman" w:cs="Times New Roman"/>
        </w:rPr>
      </w:pPr>
      <w:bookmarkStart w:id="1" w:name="_Toc7164"/>
      <w:r>
        <w:rPr>
          <w:rFonts w:ascii="Times New Roman" w:hAnsi="Times New Roman" w:cs="Times New Roman"/>
        </w:rPr>
        <w:t>二、网店开设装修</w:t>
      </w:r>
    </w:p>
    <w:p>
      <w:pPr>
        <w:pStyle w:val="3"/>
        <w:rPr>
          <w:rFonts w:ascii="Times New Roman" w:hAnsi="Times New Roman" w:cs="Times New Roman" w:eastAsiaTheme="minorEastAsia"/>
        </w:rPr>
      </w:pPr>
      <w:r>
        <w:rPr>
          <w:rFonts w:ascii="Times New Roman" w:hAnsi="Times New Roman" w:cs="Times New Roman" w:eastAsiaTheme="minorEastAsia"/>
        </w:rPr>
        <w:t>（一）分值：25分</w:t>
      </w:r>
    </w:p>
    <w:p>
      <w:pPr>
        <w:pStyle w:val="3"/>
        <w:rPr>
          <w:rFonts w:ascii="Times New Roman" w:hAnsi="Times New Roman" w:cs="Times New Roman" w:eastAsiaTheme="minorEastAsia"/>
        </w:rPr>
      </w:pPr>
      <w:r>
        <w:rPr>
          <w:rFonts w:ascii="Times New Roman" w:hAnsi="Times New Roman" w:cs="Times New Roman" w:eastAsiaTheme="minorEastAsia"/>
        </w:rPr>
        <w:t>（二）竞赛时间：120分钟</w:t>
      </w:r>
    </w:p>
    <w:p>
      <w:pPr>
        <w:pStyle w:val="3"/>
        <w:rPr>
          <w:rFonts w:ascii="Times New Roman" w:hAnsi="Times New Roman" w:cs="Times New Roman" w:eastAsiaTheme="minorEastAsia"/>
        </w:rPr>
      </w:pPr>
      <w:r>
        <w:rPr>
          <w:rFonts w:ascii="Times New Roman" w:hAnsi="Times New Roman" w:cs="Times New Roman" w:eastAsiaTheme="minorEastAsia"/>
        </w:rPr>
        <w:t>（三）背景资料</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店铺即将要销售立体拼图、太空泥、泡泡机、玩具车、液晶画板五款商品，现需设计五款商品的图片，其中立体拼图、太空泥、玩具车、液晶画板四款商品只做Banner图，每款商品均提供素材图片，包括商品整体展示图、细节展示图等；泡泡机这款商品需要做主图和详情页，提供素材图片，包括商品整体展示图、细节展示图、商品评价等。</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五款商品的介绍如下：</w:t>
      </w:r>
    </w:p>
    <w:p>
      <w:pPr>
        <w:pStyle w:val="4"/>
        <w:ind w:firstLine="643" w:firstLineChars="200"/>
        <w:rPr>
          <w:rFonts w:ascii="Times New Roman" w:hAnsi="Times New Roman" w:cs="Times New Roman"/>
        </w:rPr>
      </w:pPr>
      <w:r>
        <w:rPr>
          <w:rFonts w:ascii="Times New Roman" w:hAnsi="Times New Roman" w:cs="Times New Roman"/>
        </w:rPr>
        <w:t>1、立体拼图</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立体拼图是由空腔立体商品分割成的多个片体，利用片体拼装成立体商品，提高了拼图的趣味性和难度，兼具智力与耐心的考验，无需辅助工具，拼装方便、安全，极具趣味性、教育性。</w:t>
      </w:r>
    </w:p>
    <w:p>
      <w:pPr>
        <w:pStyle w:val="4"/>
        <w:ind w:firstLine="643" w:firstLineChars="200"/>
        <w:rPr>
          <w:rFonts w:ascii="Times New Roman" w:hAnsi="Times New Roman" w:cs="Times New Roman"/>
        </w:rPr>
      </w:pPr>
      <w:r>
        <w:rPr>
          <w:rFonts w:ascii="Times New Roman" w:hAnsi="Times New Roman" w:cs="Times New Roman"/>
        </w:rPr>
        <w:t>2、太空泥</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太空泥是彩色的泥巴，超轻粘土，无毒无味，类似于橡皮泥,但橡皮泥干了会裂开，而太空泥自然晾干后，手感照样有点软软的，有点像海绵，可风干定型。</w:t>
      </w:r>
    </w:p>
    <w:p>
      <w:pPr>
        <w:pStyle w:val="4"/>
        <w:ind w:firstLine="643" w:firstLineChars="200"/>
        <w:rPr>
          <w:rFonts w:ascii="Times New Roman" w:hAnsi="Times New Roman" w:cs="Times New Roman"/>
        </w:rPr>
      </w:pPr>
      <w:r>
        <w:rPr>
          <w:rFonts w:ascii="Times New Roman" w:hAnsi="Times New Roman" w:cs="Times New Roman"/>
        </w:rPr>
        <w:t>3、泡泡机</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泡泡机能在短时间内吹出五彩缤纷的泡泡，是锻炼动手能力的益智好玩具，满天飞舞的彩色泡泡可以激发孩子的探究热情，促进孩子运用多种感官、多种方式去探索更多未知的东西。</w:t>
      </w:r>
    </w:p>
    <w:p>
      <w:pPr>
        <w:pStyle w:val="4"/>
        <w:ind w:firstLine="643" w:firstLineChars="200"/>
        <w:rPr>
          <w:rFonts w:ascii="Times New Roman" w:hAnsi="Times New Roman" w:cs="Times New Roman"/>
        </w:rPr>
      </w:pPr>
      <w:r>
        <w:rPr>
          <w:rFonts w:ascii="Times New Roman" w:hAnsi="Times New Roman" w:cs="Times New Roman"/>
        </w:rPr>
        <w:t>4、玩具车</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玩具车是汽车、自行车等按照一定比例进行外观缩小的玩具，主要有操作类和玩耍类，操作类可供孩子开车前行，稳定性比较好，比较安全</w:t>
      </w:r>
      <w:r>
        <w:rPr>
          <w:rFonts w:hint="eastAsia" w:ascii="Times New Roman" w:hAnsi="Times New Roman" w:cs="Times New Roman"/>
          <w:kern w:val="0"/>
          <w:sz w:val="28"/>
          <w:szCs w:val="28"/>
          <w:lang w:eastAsia="zh-CN"/>
        </w:rPr>
        <w:t>；</w:t>
      </w:r>
      <w:r>
        <w:rPr>
          <w:rFonts w:ascii="Times New Roman" w:hAnsi="Times New Roman" w:cs="Times New Roman"/>
          <w:kern w:val="0"/>
          <w:sz w:val="28"/>
          <w:szCs w:val="28"/>
        </w:rPr>
        <w:t>玩耍类一般是遥控汽车、机械车等，重在培养孩子的</w:t>
      </w:r>
      <w:r>
        <w:rPr>
          <w:rFonts w:hint="eastAsia" w:ascii="Times New Roman" w:hAnsi="Times New Roman" w:cs="Times New Roman"/>
          <w:kern w:val="0"/>
          <w:sz w:val="28"/>
          <w:szCs w:val="28"/>
          <w:lang w:val="en-US" w:eastAsia="zh-CN"/>
        </w:rPr>
        <w:t>动手</w:t>
      </w:r>
      <w:r>
        <w:rPr>
          <w:rFonts w:ascii="Times New Roman" w:hAnsi="Times New Roman" w:cs="Times New Roman"/>
          <w:kern w:val="0"/>
          <w:sz w:val="28"/>
          <w:szCs w:val="28"/>
        </w:rPr>
        <w:t>能力。</w:t>
      </w:r>
    </w:p>
    <w:p>
      <w:pPr>
        <w:pStyle w:val="4"/>
        <w:ind w:firstLine="643" w:firstLineChars="200"/>
        <w:rPr>
          <w:rFonts w:ascii="Times New Roman" w:hAnsi="Times New Roman" w:cs="Times New Roman"/>
        </w:rPr>
      </w:pPr>
      <w:r>
        <w:rPr>
          <w:rFonts w:ascii="Times New Roman" w:hAnsi="Times New Roman" w:cs="Times New Roman"/>
        </w:rPr>
        <w:t>5、液晶画板</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液晶画板是一块液晶屏，摸上去和显示器类似，可以通过改变按压的力度来变化线条粗细，从而形成类似素描的效果。液晶画板在书写画画时的物理反应也十分灵敏，基本上没有延迟，紧紧跟随压力移动，感觉就和用笔在纸上写字、画画一样。</w:t>
      </w:r>
    </w:p>
    <w:p>
      <w:pPr>
        <w:pStyle w:val="3"/>
        <w:rPr>
          <w:rFonts w:ascii="Times New Roman" w:hAnsi="Times New Roman" w:cs="Times New Roman" w:eastAsiaTheme="minorEastAsia"/>
        </w:rPr>
      </w:pPr>
      <w:r>
        <w:rPr>
          <w:rFonts w:ascii="Times New Roman" w:hAnsi="Times New Roman" w:cs="Times New Roman" w:eastAsiaTheme="minorEastAsia"/>
        </w:rPr>
        <w:t>（五）具体考核要求</w:t>
      </w:r>
    </w:p>
    <w:p>
      <w:pPr>
        <w:pStyle w:val="4"/>
        <w:ind w:firstLine="643" w:firstLineChars="200"/>
        <w:rPr>
          <w:rFonts w:ascii="Times New Roman" w:hAnsi="Times New Roman" w:cs="Times New Roman"/>
        </w:rPr>
      </w:pPr>
      <w:r>
        <w:rPr>
          <w:rFonts w:ascii="Times New Roman" w:hAnsi="Times New Roman" w:cs="Times New Roman"/>
        </w:rPr>
        <w:t>1、网店开设</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网店开设按照系统流程先开设店铺，设置店铺信息，包括店主姓名、身份证号、身份证复印件（大小不可超过150K）、银行账号、店铺名称、店铺主营、店铺特色、营业执照、店铺分类。背景材料如下表所示：</w:t>
      </w:r>
    </w:p>
    <w:tbl>
      <w:tblPr>
        <w:tblStyle w:val="9"/>
        <w:tblW w:w="86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5"/>
        <w:gridCol w:w="5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2725" w:type="dxa"/>
            <w:vAlign w:val="center"/>
          </w:tcPr>
          <w:p>
            <w:pPr>
              <w:jc w:val="left"/>
              <w:rPr>
                <w:rFonts w:ascii="Times New Roman" w:hAnsi="Times New Roman" w:eastAsia="宋体" w:cs="Times New Roman"/>
                <w:sz w:val="28"/>
                <w:szCs w:val="28"/>
              </w:rPr>
            </w:pPr>
            <w:r>
              <w:rPr>
                <w:rFonts w:ascii="Times New Roman" w:hAnsi="Times New Roman" w:eastAsia="宋体" w:cs="Times New Roman"/>
                <w:sz w:val="28"/>
                <w:szCs w:val="28"/>
              </w:rPr>
              <w:t>身份证号码</w:t>
            </w:r>
          </w:p>
        </w:tc>
        <w:tc>
          <w:tcPr>
            <w:tcW w:w="5926" w:type="dxa"/>
            <w:vAlign w:val="center"/>
          </w:tcPr>
          <w:p>
            <w:pPr>
              <w:jc w:val="left"/>
              <w:rPr>
                <w:rFonts w:ascii="Times New Roman" w:hAnsi="Times New Roman" w:eastAsia="宋体" w:cs="Times New Roman"/>
                <w:sz w:val="28"/>
                <w:szCs w:val="28"/>
              </w:rPr>
            </w:pPr>
            <w:r>
              <w:rPr>
                <w:rFonts w:ascii="Times New Roman" w:hAnsi="Times New Roman" w:eastAsia="宋体" w:cs="Times New Roman"/>
                <w:sz w:val="28"/>
                <w:szCs w:val="28"/>
              </w:rPr>
              <w:t>33017719885673478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2725" w:type="dxa"/>
            <w:vAlign w:val="center"/>
          </w:tcPr>
          <w:p>
            <w:pPr>
              <w:jc w:val="left"/>
              <w:rPr>
                <w:rFonts w:ascii="Times New Roman" w:hAnsi="Times New Roman" w:eastAsia="宋体" w:cs="Times New Roman"/>
                <w:sz w:val="28"/>
                <w:szCs w:val="28"/>
              </w:rPr>
            </w:pPr>
            <w:r>
              <w:rPr>
                <w:rFonts w:ascii="Times New Roman" w:hAnsi="Times New Roman" w:eastAsia="宋体" w:cs="Times New Roman"/>
                <w:sz w:val="28"/>
                <w:szCs w:val="28"/>
              </w:rPr>
              <w:t>银行账户</w:t>
            </w:r>
          </w:p>
        </w:tc>
        <w:tc>
          <w:tcPr>
            <w:tcW w:w="5926" w:type="dxa"/>
            <w:vAlign w:val="center"/>
          </w:tcPr>
          <w:p>
            <w:pPr>
              <w:jc w:val="left"/>
              <w:rPr>
                <w:rFonts w:ascii="Times New Roman" w:hAnsi="Times New Roman" w:eastAsia="宋体" w:cs="Times New Roman"/>
                <w:sz w:val="28"/>
                <w:szCs w:val="28"/>
              </w:rPr>
            </w:pPr>
            <w:r>
              <w:rPr>
                <w:rFonts w:ascii="Times New Roman" w:hAnsi="Times New Roman" w:eastAsia="宋体" w:cs="Times New Roman"/>
                <w:sz w:val="28"/>
                <w:szCs w:val="28"/>
              </w:rPr>
              <w:t>89012345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2725" w:type="dxa"/>
            <w:vAlign w:val="center"/>
          </w:tcPr>
          <w:p>
            <w:pPr>
              <w:jc w:val="left"/>
              <w:rPr>
                <w:rFonts w:ascii="Times New Roman" w:hAnsi="Times New Roman" w:eastAsia="宋体" w:cs="Times New Roman"/>
                <w:sz w:val="28"/>
                <w:szCs w:val="28"/>
              </w:rPr>
            </w:pPr>
            <w:r>
              <w:rPr>
                <w:rFonts w:ascii="Times New Roman" w:hAnsi="Times New Roman" w:eastAsia="宋体" w:cs="Times New Roman"/>
                <w:sz w:val="28"/>
                <w:szCs w:val="28"/>
              </w:rPr>
              <w:t>联系电话</w:t>
            </w:r>
          </w:p>
        </w:tc>
        <w:tc>
          <w:tcPr>
            <w:tcW w:w="5926" w:type="dxa"/>
            <w:vAlign w:val="center"/>
          </w:tcPr>
          <w:p>
            <w:pPr>
              <w:jc w:val="left"/>
              <w:rPr>
                <w:rFonts w:ascii="Times New Roman" w:hAnsi="Times New Roman" w:eastAsia="宋体" w:cs="Times New Roman"/>
                <w:sz w:val="28"/>
                <w:szCs w:val="28"/>
              </w:rPr>
            </w:pPr>
            <w:r>
              <w:rPr>
                <w:rFonts w:ascii="Times New Roman" w:hAnsi="Times New Roman" w:eastAsia="宋体" w:cs="Times New Roman"/>
                <w:sz w:val="28"/>
                <w:szCs w:val="28"/>
              </w:rPr>
              <w:t>13556783434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2725" w:type="dxa"/>
            <w:vAlign w:val="center"/>
          </w:tcPr>
          <w:p>
            <w:pPr>
              <w:jc w:val="left"/>
              <w:rPr>
                <w:rFonts w:ascii="Times New Roman" w:hAnsi="Times New Roman" w:eastAsia="宋体" w:cs="Times New Roman"/>
                <w:sz w:val="28"/>
                <w:szCs w:val="28"/>
              </w:rPr>
            </w:pPr>
            <w:r>
              <w:rPr>
                <w:rFonts w:ascii="Times New Roman" w:hAnsi="Times New Roman" w:eastAsia="宋体" w:cs="Times New Roman"/>
                <w:sz w:val="28"/>
                <w:szCs w:val="28"/>
              </w:rPr>
              <w:t>详细地址</w:t>
            </w:r>
          </w:p>
        </w:tc>
        <w:tc>
          <w:tcPr>
            <w:tcW w:w="5926" w:type="dxa"/>
            <w:vAlign w:val="center"/>
          </w:tcPr>
          <w:p>
            <w:pPr>
              <w:jc w:val="left"/>
              <w:rPr>
                <w:rFonts w:ascii="Times New Roman" w:hAnsi="Times New Roman" w:eastAsia="宋体" w:cs="Times New Roman"/>
                <w:sz w:val="28"/>
                <w:szCs w:val="28"/>
              </w:rPr>
            </w:pPr>
            <w:r>
              <w:rPr>
                <w:rFonts w:ascii="Times New Roman" w:hAnsi="Times New Roman" w:eastAsia="宋体" w:cs="Times New Roman"/>
                <w:sz w:val="28"/>
                <w:szCs w:val="28"/>
              </w:rPr>
              <w:t>南林省南林市南林街2号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2725" w:type="dxa"/>
            <w:vAlign w:val="center"/>
          </w:tcPr>
          <w:p>
            <w:pPr>
              <w:jc w:val="left"/>
              <w:rPr>
                <w:rFonts w:ascii="Times New Roman" w:hAnsi="Times New Roman" w:eastAsia="宋体" w:cs="Times New Roman"/>
                <w:sz w:val="28"/>
                <w:szCs w:val="28"/>
              </w:rPr>
            </w:pPr>
            <w:r>
              <w:rPr>
                <w:rFonts w:ascii="Times New Roman" w:hAnsi="Times New Roman" w:eastAsia="宋体" w:cs="Times New Roman"/>
                <w:sz w:val="28"/>
                <w:szCs w:val="28"/>
              </w:rPr>
              <w:t>营业执照</w:t>
            </w:r>
          </w:p>
        </w:tc>
        <w:tc>
          <w:tcPr>
            <w:tcW w:w="5926" w:type="dxa"/>
            <w:vAlign w:val="center"/>
          </w:tcPr>
          <w:p>
            <w:pPr>
              <w:jc w:val="left"/>
              <w:rPr>
                <w:rFonts w:ascii="Times New Roman" w:hAnsi="Times New Roman" w:eastAsia="宋体" w:cs="Times New Roman"/>
                <w:sz w:val="28"/>
                <w:szCs w:val="28"/>
              </w:rPr>
            </w:pPr>
            <w:r>
              <w:rPr>
                <w:rFonts w:ascii="Times New Roman" w:hAnsi="Times New Roman" w:eastAsia="宋体" w:cs="Times New Roman"/>
                <w:sz w:val="28"/>
                <w:szCs w:val="28"/>
              </w:rPr>
              <w:t>340108016678909</w:t>
            </w:r>
          </w:p>
        </w:tc>
      </w:tr>
    </w:tbl>
    <w:p>
      <w:pPr>
        <w:snapToGrid w:val="0"/>
        <w:spacing w:line="560" w:lineRule="exact"/>
        <w:ind w:firstLine="560" w:firstLineChars="200"/>
        <w:jc w:val="left"/>
        <w:rPr>
          <w:rFonts w:ascii="Times New Roman" w:hAnsi="Times New Roman" w:eastAsia="宋体" w:cs="Times New Roman"/>
          <w:kern w:val="0"/>
          <w:sz w:val="28"/>
          <w:szCs w:val="28"/>
        </w:rPr>
      </w:pPr>
    </w:p>
    <w:tbl>
      <w:tblPr>
        <w:tblStyle w:val="9"/>
        <w:tblW w:w="86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10"/>
        <w:gridCol w:w="5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27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Times New Roman" w:hAnsi="Times New Roman" w:eastAsia="宋体" w:cs="Times New Roman"/>
                <w:bCs/>
                <w:sz w:val="28"/>
                <w:szCs w:val="28"/>
              </w:rPr>
            </w:pPr>
            <w:r>
              <w:rPr>
                <w:rFonts w:ascii="Times New Roman" w:hAnsi="Times New Roman" w:eastAsia="宋体" w:cs="Times New Roman"/>
                <w:bCs/>
                <w:sz w:val="28"/>
                <w:szCs w:val="28"/>
              </w:rPr>
              <w:t>Identity Card No.</w:t>
            </w:r>
          </w:p>
        </w:tc>
        <w:tc>
          <w:tcPr>
            <w:tcW w:w="591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Times New Roman" w:hAnsi="Times New Roman" w:eastAsia="宋体" w:cs="Times New Roman"/>
                <w:sz w:val="28"/>
                <w:szCs w:val="28"/>
              </w:rPr>
            </w:pPr>
            <w:r>
              <w:rPr>
                <w:rFonts w:ascii="Times New Roman" w:hAnsi="Times New Roman" w:eastAsia="宋体" w:cs="Times New Roman"/>
                <w:sz w:val="28"/>
                <w:szCs w:val="28"/>
              </w:rPr>
              <w:t>33017719885673478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27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Times New Roman" w:hAnsi="Times New Roman" w:eastAsia="宋体" w:cs="Times New Roman"/>
                <w:bCs/>
                <w:sz w:val="28"/>
                <w:szCs w:val="28"/>
              </w:rPr>
            </w:pPr>
            <w:r>
              <w:rPr>
                <w:rFonts w:ascii="Times New Roman" w:hAnsi="Times New Roman" w:eastAsia="宋体" w:cs="Times New Roman"/>
                <w:bCs/>
                <w:sz w:val="28"/>
                <w:szCs w:val="28"/>
              </w:rPr>
              <w:t>Bank Account</w:t>
            </w:r>
          </w:p>
        </w:tc>
        <w:tc>
          <w:tcPr>
            <w:tcW w:w="591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Times New Roman" w:hAnsi="Times New Roman" w:eastAsia="宋体" w:cs="Times New Roman"/>
                <w:sz w:val="28"/>
                <w:szCs w:val="28"/>
              </w:rPr>
            </w:pPr>
            <w:r>
              <w:rPr>
                <w:rFonts w:ascii="Times New Roman" w:hAnsi="Times New Roman" w:eastAsia="宋体" w:cs="Times New Roman"/>
                <w:sz w:val="28"/>
                <w:szCs w:val="28"/>
              </w:rPr>
              <w:t>89012345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27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Times New Roman" w:hAnsi="Times New Roman" w:eastAsia="宋体" w:cs="Times New Roman"/>
                <w:bCs/>
                <w:sz w:val="28"/>
                <w:szCs w:val="28"/>
              </w:rPr>
            </w:pPr>
            <w:r>
              <w:rPr>
                <w:rFonts w:ascii="Times New Roman" w:hAnsi="Times New Roman" w:eastAsia="宋体" w:cs="Times New Roman"/>
                <w:bCs/>
                <w:sz w:val="28"/>
                <w:szCs w:val="28"/>
              </w:rPr>
              <w:t>Contact No.</w:t>
            </w:r>
          </w:p>
        </w:tc>
        <w:tc>
          <w:tcPr>
            <w:tcW w:w="591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Times New Roman" w:hAnsi="Times New Roman" w:eastAsia="宋体" w:cs="Times New Roman"/>
                <w:sz w:val="28"/>
                <w:szCs w:val="28"/>
              </w:rPr>
            </w:pPr>
            <w:r>
              <w:rPr>
                <w:rFonts w:ascii="Times New Roman" w:hAnsi="Times New Roman" w:eastAsia="宋体" w:cs="Times New Roman"/>
                <w:sz w:val="28"/>
                <w:szCs w:val="28"/>
              </w:rPr>
              <w:t>13556783434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27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Times New Roman" w:hAnsi="Times New Roman" w:eastAsia="宋体" w:cs="Times New Roman"/>
                <w:bCs/>
                <w:sz w:val="28"/>
                <w:szCs w:val="28"/>
              </w:rPr>
            </w:pPr>
            <w:r>
              <w:rPr>
                <w:rFonts w:ascii="Times New Roman" w:hAnsi="Times New Roman" w:eastAsia="宋体" w:cs="Times New Roman"/>
                <w:bCs/>
                <w:sz w:val="28"/>
                <w:szCs w:val="28"/>
              </w:rPr>
              <w:t>Full Address</w:t>
            </w:r>
          </w:p>
        </w:tc>
        <w:tc>
          <w:tcPr>
            <w:tcW w:w="591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Times New Roman" w:hAnsi="Times New Roman" w:eastAsia="宋体" w:cs="Times New Roman"/>
                <w:sz w:val="28"/>
                <w:szCs w:val="28"/>
              </w:rPr>
            </w:pPr>
            <w:r>
              <w:rPr>
                <w:rFonts w:ascii="Times New Roman" w:hAnsi="Times New Roman" w:eastAsia="宋体" w:cs="Times New Roman"/>
                <w:sz w:val="28"/>
                <w:szCs w:val="28"/>
              </w:rPr>
              <w:t>No.2,Nanlin Street, Nanlin City, Nanlin Province, China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27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Times New Roman" w:hAnsi="Times New Roman" w:eastAsia="宋体" w:cs="Times New Roman"/>
                <w:bCs/>
                <w:sz w:val="28"/>
                <w:szCs w:val="28"/>
              </w:rPr>
            </w:pPr>
            <w:r>
              <w:rPr>
                <w:rFonts w:ascii="Times New Roman" w:hAnsi="Times New Roman" w:eastAsia="宋体" w:cs="Times New Roman"/>
                <w:bCs/>
                <w:sz w:val="28"/>
                <w:szCs w:val="28"/>
              </w:rPr>
              <w:t>Business License</w:t>
            </w:r>
          </w:p>
        </w:tc>
        <w:tc>
          <w:tcPr>
            <w:tcW w:w="591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Times New Roman" w:hAnsi="Times New Roman" w:eastAsia="宋体" w:cs="Times New Roman"/>
                <w:sz w:val="28"/>
                <w:szCs w:val="28"/>
              </w:rPr>
            </w:pPr>
            <w:r>
              <w:rPr>
                <w:rFonts w:ascii="Times New Roman" w:hAnsi="Times New Roman" w:eastAsia="宋体" w:cs="Times New Roman"/>
                <w:sz w:val="28"/>
                <w:szCs w:val="28"/>
              </w:rPr>
              <w:t>340108016678909</w:t>
            </w:r>
          </w:p>
        </w:tc>
      </w:tr>
    </w:tbl>
    <w:p>
      <w:pPr>
        <w:pStyle w:val="4"/>
        <w:ind w:firstLine="643" w:firstLineChars="200"/>
        <w:rPr>
          <w:rFonts w:ascii="Times New Roman" w:hAnsi="Times New Roman" w:eastAsia="宋体" w:cs="Times New Roman"/>
        </w:rPr>
      </w:pPr>
      <w:r>
        <w:rPr>
          <w:rFonts w:ascii="Times New Roman" w:hAnsi="Times New Roman" w:eastAsia="宋体" w:cs="Times New Roman"/>
        </w:rPr>
        <w:t>2、店标（Logo）、店招设计与制作</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店标（Logo）、店招大小适宜、比例精准、没有压缩变形，能体现店铺所销售的商品，设计独特，具有一定的创新性。</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（1）PC电商店铺要求</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制作1张尺寸为230*70像素、大小不超过150K的图片作为店标；PC电商店铺不制作店招。</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（2）移动电商店铺要求</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制作1张尺寸为100*100像素、大小不超过80K的图片作为店标；制作1张尺寸为642*200像素、大小不超过200K的图片作为店招。</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（3）跨境电商店铺要求</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制作1张尺寸为230*70像素、大小不超过150K的图片作为店标；跨境电商店铺不制作店招。</w:t>
      </w:r>
    </w:p>
    <w:p>
      <w:pPr>
        <w:pStyle w:val="4"/>
        <w:ind w:firstLine="643" w:firstLineChars="200"/>
        <w:rPr>
          <w:rFonts w:ascii="Times New Roman" w:hAnsi="Times New Roman" w:eastAsia="宋体" w:cs="Times New Roman"/>
        </w:rPr>
      </w:pPr>
      <w:r>
        <w:rPr>
          <w:rFonts w:ascii="Times New Roman" w:hAnsi="Times New Roman" w:eastAsia="宋体" w:cs="Times New Roman"/>
        </w:rPr>
        <w:t>3、网店Banner设计与制作</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Banner主题与店铺所经营的商品具有相关性；设计具有吸引力和营销向导；设计规格可以提升店铺整体风格。</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（1）PC电商店铺要求</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制作4张尺寸为727*416像素、大小不超过150K的图片。</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（2）移动电商店铺要求</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制作4张尺寸为608*304像素、大小不超过150K的图片。</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（3）跨境电商店铺要求</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制作4张尺寸为980*300像素、大小不超过150K的图片。</w:t>
      </w:r>
    </w:p>
    <w:p>
      <w:pPr>
        <w:pStyle w:val="4"/>
        <w:ind w:firstLine="643" w:firstLineChars="200"/>
        <w:rPr>
          <w:rFonts w:ascii="Times New Roman" w:hAnsi="Times New Roman" w:eastAsia="宋体" w:cs="Times New Roman"/>
        </w:rPr>
      </w:pPr>
      <w:r>
        <w:rPr>
          <w:rFonts w:ascii="Times New Roman" w:hAnsi="Times New Roman" w:eastAsia="宋体" w:cs="Times New Roman"/>
        </w:rPr>
        <w:t>4、商品主图设计与制作</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图片必须能较好地反映出该商品的功能特点、对顾客有很好的吸引力，保证图片有较好的清晰度，图文结合的图片，文字不能影响图片的整体美观、不能本末倒置。</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（1）PC电商店铺要求</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赛场制作4张尺寸为800*800像素、大小不超过200K的图片。</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（2）移动电商店铺要求</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赛场制作4张尺寸为600*600像素、大小不超过200K的图片。</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（3）跨境电商店铺要求</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赛场制作6张尺寸为800*800像素、大小不超过200K的图片。</w:t>
      </w:r>
    </w:p>
    <w:p>
      <w:pPr>
        <w:pStyle w:val="4"/>
        <w:ind w:firstLine="643" w:firstLineChars="200"/>
        <w:rPr>
          <w:rFonts w:ascii="Times New Roman" w:hAnsi="Times New Roman" w:eastAsia="宋体" w:cs="Times New Roman"/>
        </w:rPr>
      </w:pPr>
      <w:r>
        <w:rPr>
          <w:rFonts w:ascii="Times New Roman" w:hAnsi="Times New Roman" w:eastAsia="宋体" w:cs="Times New Roman"/>
        </w:rPr>
        <w:t>5、商品详情页设计与制作</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商品信息（图片、文本或图文混排）、商品展示（图片）、促销信息、支付与配送信息、售后信息。商品描述中包含该商品的适用人群，及对该类人群有何种价值与优势；商品信息中可以允许以促销为目的宣传用语，但不允许过分夸张。</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（1）PC电商店铺要求</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运用HTML+CSS和图片配合对商品描述进行排版；要求使用Dreamweaver处理成HTML代码或者用Photoshop设计成图片后放入商品描述里添加。</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（2）移动电商店铺要求</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商品详情页所有图片总大小不能超过1536K；图片建议宽度为480～620像素、高度不超过960像素；当在图片上添加文字时，建议中文字体大于等于30号字，英文和阿拉伯数字大于等于20号字；若添加文字内容较多，可使用纯文本的方式进行编辑。</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（3）跨境电商店铺要求</w:t>
      </w:r>
    </w:p>
    <w:p>
      <w:pPr>
        <w:snapToGrid w:val="0"/>
        <w:spacing w:line="560" w:lineRule="exact"/>
        <w:ind w:firstLine="560" w:firstLineChars="200"/>
        <w:jc w:val="left"/>
        <w:rPr>
          <w:rFonts w:hint="eastAsia" w:asciiTheme="minorEastAsia" w:hAnsiTheme="minorEastAsia" w:eastAsiaTheme="minorEastAsia" w:cstheme="minorEastAsia"/>
          <w:lang w:val="en-US" w:eastAsia="zh-CN"/>
        </w:rPr>
      </w:pPr>
      <w:r>
        <w:rPr>
          <w:rFonts w:ascii="Times New Roman" w:hAnsi="Times New Roman" w:eastAsia="宋体" w:cs="Times New Roman"/>
          <w:kern w:val="0"/>
          <w:sz w:val="28"/>
          <w:szCs w:val="28"/>
        </w:rPr>
        <w:t>运用HTML+CSS和图片配合对商品描述进行排版；建议使用Dreamweaver处理成HTML代码或者用Photoshop设计成图片后放入商品描述里添加。</w:t>
      </w:r>
    </w:p>
    <w:p>
      <w:pPr>
        <w:pStyle w:val="2"/>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三、</w:t>
      </w:r>
      <w:r>
        <w:rPr>
          <w:rFonts w:hint="eastAsia" w:asciiTheme="minorEastAsia" w:hAnsiTheme="minorEastAsia" w:eastAsiaTheme="minorEastAsia" w:cstheme="minorEastAsia"/>
        </w:rPr>
        <w:t>网店运营推广</w:t>
      </w:r>
      <w:bookmarkEnd w:id="1"/>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一</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分值：50分</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二</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竞赛时间：300分钟</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三</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背景资料</w:t>
      </w:r>
    </w:p>
    <w:p>
      <w:pPr>
        <w:snapToGrid w:val="0"/>
        <w:spacing w:line="560" w:lineRule="exact"/>
        <w:ind w:firstLine="560" w:firstLineChars="200"/>
        <w:jc w:val="left"/>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参赛团队以卖家角色，分析数据魔方，做好区域、商品、人群定位；租赁办公场所，建立配送中心，装修网店，采购商品；根据数据魔方进行搜索引擎优化（SEO）操作、获取尽可能多的自然流量，进行关键词竞价（SEM）推广、获取尽可能多的付费流量，进行站外推广（电视广告、网盟、百度竞价排名）获取尽可能多的站外流量，引导买家进店消费；针对不同消费人群采取不同策略，制定商品价格，促成交易，提升转化率；处理订单，配送商品，结算资金；规划资金需求，控制成本，分析财务指标，调整策略，创造最大利润。</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四</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具体考核要求</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数据魔方</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系统内置动态的市场模型--“数据魔方”，提供市场需求数据和关键词数据。</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市场需求数据包括期初4类以及以后的十几类商品在15个城市中4种人群的需求量和市场平均价格。卖家根据市场需求数据，分析热销商品，以尽可能低的价格采购商品；分析买家区域分布，就近建立配送中心；确定目标人群，推出团购、秒杀、套餐、促销等优惠活动，促成交易。</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关键词数据提供买家搜索的关键词展现量、点击量、点击率、转化量、转化率、平均点击单价、搜索相关性等信息。根据关键词数据，判断“买家怎么来”。买家通过搜索关键词来寻找所需要的商品，一方面卖家通过优化标题的关键词尽可能匹配买家搜索的关键词，即SEO，属于自然流量；另一方面卖家通过设置与推广商品相关的关键词和点击价格，在买家搜索相应关键词时获得推广商品展现与点击，卖家按照所获流量（点击数）付费，进行商品精准推广，即SEM，属于付费流量。卖家通过SEO和SEM引导买家进店消费。</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2、</w:t>
      </w:r>
      <w:r>
        <w:rPr>
          <w:rFonts w:hint="eastAsia" w:asciiTheme="minorEastAsia" w:hAnsiTheme="minorEastAsia" w:eastAsiaTheme="minorEastAsia" w:cstheme="minorEastAsia"/>
        </w:rPr>
        <w:t>办公场所设立</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办公场所设立包含选择办公城市、选择办公场所类型和招贤纳士三部分，卖家只能设立一个办公场所；根据不同城市的城市影响力、租金差、工资差等信息选择合适的办公城市；根据办公场所的容纳人数、租赁价格、维修费用等信息选择合适的办公场所；根据员工的业务能力、工资增长率及基本工资选择合适的人员。</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rPr>
        <w:t>配送中心设立</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包括租赁、改建、搬迁、退租、设配区五个功能，每个城市只能建立一个配送中心。</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租赁：根据体积、租赁价格、维修费用、管理费用及搬迁费用选择合适的配送中心；</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改建：若租赁时选择的配送中心不能满足实际需求，则可以进行改建；改建时，若是将体积小的改为体积大的，则补充租金差价；若是体积大的改为体积小的，不退还租金差价；</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搬迁：改变仓库的所在城市；搬迁需支付相应费用，若搬迁至租金高的城市则需补充相应差价，反之搬迁至租金低的城市不退还差价；搬迁时仓库必须空置。</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退租：把闲置的仓库退租，若不退租则到期后系统默认续租；退租时，仓库必须空置；每期中间退租，则需支付整期人员工资。</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设配区：为每个配送中心设置默认的配送区域及默认的物流方式；若多个配送中心选择的默认配送区域里包含若干个相同的城市，则在这些城市中按照租赁配送中心操作的顺序确定默认的配送中心。</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4、</w:t>
      </w:r>
      <w:r>
        <w:rPr>
          <w:rFonts w:hint="eastAsia" w:asciiTheme="minorEastAsia" w:hAnsiTheme="minorEastAsia" w:eastAsiaTheme="minorEastAsia" w:cstheme="minorEastAsia"/>
        </w:rPr>
        <w:t>店铺开设</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开设C店：C店不可以进行站外推广。</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开设B店：筹备周期需要4期，每期费用为60；B店可以进行站外推广，获取站外流量。</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网店装修</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店铺装修增加视觉值，每种装修费用不同，获得的视觉值也不同；店铺的视觉值每期都会下降10。</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6、</w:t>
      </w:r>
      <w:r>
        <w:rPr>
          <w:rFonts w:hint="eastAsia" w:asciiTheme="minorEastAsia" w:hAnsiTheme="minorEastAsia" w:eastAsiaTheme="minorEastAsia" w:cstheme="minorEastAsia"/>
        </w:rPr>
        <w:t>采购投标</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提交采购投标方案，系统自动评判中标方；只能在有配送中心的城市进行投标；采购投标时，同一种商品投标单价高的成交，直到所有商品全部成交为止。如果竞标价格相同，则与供应商的关系值高的优先成交；如果竞标价格相同，与供应商的关系值也相同，则媒体影响力高的优先成交；继续比较社会慈善，销售额，投标提交的先后顺序来依次交易。</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7、</w:t>
      </w:r>
      <w:r>
        <w:rPr>
          <w:rFonts w:hint="eastAsia" w:asciiTheme="minorEastAsia" w:hAnsiTheme="minorEastAsia" w:eastAsiaTheme="minorEastAsia" w:cstheme="minorEastAsia"/>
        </w:rPr>
        <w:t>商品入库</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采购中标城市配送中心的容量大于入库商品的体积时方可入库。</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8、</w:t>
      </w:r>
      <w:r>
        <w:rPr>
          <w:rFonts w:hint="eastAsia" w:asciiTheme="minorEastAsia" w:hAnsiTheme="minorEastAsia" w:eastAsiaTheme="minorEastAsia" w:cstheme="minorEastAsia"/>
        </w:rPr>
        <w:t>商品发布</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价格制定：</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商品价格=商品一口价+物流运费（卖家承担运费时为0）。</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物流运费：</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发布商品时卖家可以选择卖家承担运费或买家承担运费。买家承担运费时，卖家可以创建运费模板或者直接输入各种物流方式的物流运费，买家会将商品一口价和物流运费一同支付给卖家；但卖家可以采用任意物流方式运输（只要在买家规定的时间内送达，否则将承担退单的违约责任），配送完成后由卖家支付物流公司的实际运费。卖家承担运费时，买家只需将商品一口价支付给卖家，配送完成后由卖家支付物流公司的实际运费。</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创建运费模板时，卖家可分别设置各种物流方式的默认运费及每超过一件需要增加的运费；每超过一件需要增加的运费不能高于默认运费的0.5倍；直接输入各种物流方式的物流运费时，此物流运费为整单（若干件）的物流运费。</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售后服务：保修会产生售后服务费用。</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9、</w:t>
      </w:r>
      <w:r>
        <w:rPr>
          <w:rFonts w:hint="eastAsia" w:asciiTheme="minorEastAsia" w:hAnsiTheme="minorEastAsia" w:eastAsiaTheme="minorEastAsia" w:cstheme="minorEastAsia"/>
        </w:rPr>
        <w:t>SEO优化</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每种商品最多可以选择7个标题关键词，通过优化标题关键词尽可能匹配买家搜索的关键词，在买家搜索某个关键词时，展示与该关键词相关的商品，并取得靠前的自然排名。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SEO排名得分=关键词相关性（数据魔方提供）*SEO关键词匹配方式得分*0.4+商品绩效得分*0.06。</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SEO关键词匹配方式分为：完全匹配、高度匹配、部分匹配。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只有当买家搜索的词与卖家设置的标题关键词完全相同时称为完全匹配，SEO关键词匹配方式得分为1；当买家搜索的词是卖家设置的标题关键词的子集时称为高度匹配，SEO关键词匹配方式得分为0.5；当买家搜索的词与卖家设置的标题关键词文字部分匹配时称为部分匹配，SEO关键词匹配方式得分为0.2。</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例如，卖家标题关键词设置为“韩版 棉衣”，三种匹配方式如下：买家搜索关键词为“韩版 棉衣”时，匹配方式为完全匹配；买家搜索关键词为“韩版”或“棉衣”时，匹配方式为高度匹配；买家搜索关键词为“男款 棉衣”或“韩版 外套”这一类型词时，匹配方式为部分匹配。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商品绩效：</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商品绩效得分（总分100）=商品点击率得分+商品点击量得分+商品转化率得分+商品转化量得分+退单率得分+保修得分。</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商品展现量：该商品被展现的次数。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商品点击量：该商品被点击的次数。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商品点击率：商品点击量/商品展现量。</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商品转化量：该商品最终达成的成交单数。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商品转化率：商品转化量/商品点击量。</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商品退单量：该商品累计退单的数量。</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商品退单率：商品退单量/商品成交量（订单数）。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保修：售后服务类型，会产生售后服务费用。</w:t>
      </w:r>
    </w:p>
    <w:p>
      <w:pPr>
        <w:pStyle w:val="4"/>
        <w:bidi w:val="0"/>
        <w:ind w:firstLine="643" w:firstLineChars="200"/>
        <w:rPr>
          <w:rFonts w:hint="eastAsia" w:asciiTheme="minorEastAsia" w:hAnsiTheme="minorEastAsia" w:eastAsiaTheme="minorEastAsia" w:cstheme="minorEastAsia"/>
          <w:b/>
          <w:bCs/>
          <w:kern w:val="0"/>
          <w:szCs w:val="28"/>
        </w:rPr>
      </w:pPr>
      <w:r>
        <w:rPr>
          <w:rFonts w:hint="eastAsia" w:asciiTheme="minorEastAsia" w:hAnsiTheme="minorEastAsia" w:eastAsiaTheme="minorEastAsia" w:cstheme="minorEastAsia"/>
          <w:lang w:val="en-US" w:eastAsia="zh-CN"/>
        </w:rPr>
        <w:t>10、</w:t>
      </w:r>
      <w:r>
        <w:rPr>
          <w:rFonts w:hint="eastAsia" w:asciiTheme="minorEastAsia" w:hAnsiTheme="minorEastAsia" w:eastAsiaTheme="minorEastAsia" w:cstheme="minorEastAsia"/>
        </w:rPr>
        <w:t>SEM推广</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通过对自己所销售商品相关的关键词出具一定的竞价价格，在买家搜索其中某个关键词时，展示与该关键词相关的商品，并取得靠前的搜索排名。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SEM排名得分=质量分*竞价价格。</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质量分=关键词搜索相关性*0.4+商品绩效*0.06。</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竞价价格：为取得靠前的排名为某关键词所出的一次点击的价格。</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卖家实际为某个SEM关键词的一次点击支付的费用=该关键词排名下一名的竞价价格*(下一名的质量得分/本组的质量得分)+0.01</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例如，一个卖家A与卖家B都选取了“办公家具”这个关键词做SEM推广，且在该关键词的搜索排名中卖家A排名第一，卖家B排名第二。卖家A竞价价格为1.5，卖家B竞价价格为1。卖家A该词质量分10分，卖家B该词质量分8分。则卖家A实际为该关键词一次点击支付的费用=1*（8分/10分）+0.01=0.81元。</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SEM关键词匹配方式分为：精确匹配、中心匹配、广泛匹配。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精确匹配是卖家投放的关键词与买家搜索的关键词完全相同才能被搜索到；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中心匹配是指卖家投放的关键词是买家搜索的关键词的子集时也能被搜索到；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广泛匹配是指卖家投放的关键词与买家搜索的关键词有一部分相同即可被搜索到。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例如：</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设置为精确匹配时，卖家投放“棉衣”，买家搜索“棉衣”时可搜索到卖家；</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设置为中心匹配时，卖家投放“棉衣”，买家搜索“韩版 棉衣”也可搜索到卖家；</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设置为广泛匹配时，卖家投放“韩版 棉衣”，买家搜索“韩版”或“短款 棉衣”时可搜索到卖家。</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11、</w:t>
      </w:r>
      <w:r>
        <w:rPr>
          <w:rFonts w:hint="eastAsia" w:asciiTheme="minorEastAsia" w:hAnsiTheme="minorEastAsia" w:eastAsiaTheme="minorEastAsia" w:cstheme="minorEastAsia"/>
        </w:rPr>
        <w:t>SEM管理</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每个推广组对应一个商品，但是每个商品可以对应多个推广组，所以针对同一个商品的不同关键词设定不同的竞价价格可以更好的达到SEM推广效果。</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12、</w:t>
      </w:r>
      <w:r>
        <w:rPr>
          <w:rFonts w:hint="eastAsia" w:asciiTheme="minorEastAsia" w:hAnsiTheme="minorEastAsia" w:eastAsiaTheme="minorEastAsia" w:cstheme="minorEastAsia"/>
        </w:rPr>
        <w:t>营销活动</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团购</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团购价格=商品价格×团购折扣。</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秒杀</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秒杀价格=商品价格×50%。</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套餐</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套餐可组合多种商品搭配出售，套餐价格=套餐包含商品的单价总和。</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促销</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满就送、多买折扣、买第几件折扣促销。</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13、</w:t>
      </w:r>
      <w:r>
        <w:rPr>
          <w:rFonts w:hint="eastAsia" w:asciiTheme="minorEastAsia" w:hAnsiTheme="minorEastAsia" w:eastAsiaTheme="minorEastAsia" w:cstheme="minorEastAsia"/>
        </w:rPr>
        <w:t>站外推广</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只有B店才允许站外推广。选手可以通过站外流量（电视广告、网盟、百度竞价排名等渠道）来获取新的订单。</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14、</w:t>
      </w:r>
      <w:r>
        <w:rPr>
          <w:rFonts w:hint="eastAsia" w:asciiTheme="minorEastAsia" w:hAnsiTheme="minorEastAsia" w:eastAsiaTheme="minorEastAsia" w:cstheme="minorEastAsia"/>
        </w:rPr>
        <w:t>订单分发</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分为手动分发和自动分发两种；手动分发需要选择货物出库的配送中心，自动分发按照已设定好的配送范围自动选择货物出库的配送中心；自动分发可以选择全部自动分发或者分批自动分发。</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15、</w:t>
      </w:r>
      <w:r>
        <w:rPr>
          <w:rFonts w:hint="eastAsia" w:asciiTheme="minorEastAsia" w:hAnsiTheme="minorEastAsia" w:eastAsiaTheme="minorEastAsia" w:cstheme="minorEastAsia"/>
        </w:rPr>
        <w:t>物流选择</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分为手动安排和自动安排两种；手动安排需要选择运输货物的物流方式，自动安排按照已设定好的物流方式自动安排；自动安排可以选择全部自动安排或者分批自动安排。</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16、</w:t>
      </w:r>
      <w:r>
        <w:rPr>
          <w:rFonts w:hint="eastAsia" w:asciiTheme="minorEastAsia" w:hAnsiTheme="minorEastAsia" w:eastAsiaTheme="minorEastAsia" w:cstheme="minorEastAsia"/>
        </w:rPr>
        <w:t>货物出库</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根据订单的到货周期，合理安排商品出库。</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如果未在订单要求期限之前送到，客户将拒绝签收。</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系统会按照物流路线信息自动扣除实际运费。</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17、</w:t>
      </w:r>
      <w:r>
        <w:rPr>
          <w:rFonts w:hint="eastAsia" w:asciiTheme="minorEastAsia" w:hAnsiTheme="minorEastAsia" w:eastAsiaTheme="minorEastAsia" w:cstheme="minorEastAsia"/>
        </w:rPr>
        <w:t>货物签收</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无论任何物流方式配送的订单，货款均在签收后直接到账。</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18、</w:t>
      </w:r>
      <w:r>
        <w:rPr>
          <w:rFonts w:hint="eastAsia" w:asciiTheme="minorEastAsia" w:hAnsiTheme="minorEastAsia" w:eastAsiaTheme="minorEastAsia" w:cstheme="minorEastAsia"/>
        </w:rPr>
        <w:t>财务</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支付应付款。</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系统自动计算人员工资、租赁费、管理费、维修费、应交税费。</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短贷利率：5%，民间融资利率：15%，长期贷款利率：10%。</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19、</w:t>
      </w:r>
      <w:r>
        <w:rPr>
          <w:rFonts w:hint="eastAsia" w:asciiTheme="minorEastAsia" w:hAnsiTheme="minorEastAsia" w:eastAsiaTheme="minorEastAsia" w:cstheme="minorEastAsia"/>
        </w:rPr>
        <w:t>信誉度</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获得订单后，在客户的需求期限内正常交货，获得1的信誉度；违约第1单，获得-1的信誉度，违约第2单获得-2的信誉度，依次类推，违约的第N单获得-N的信誉度。</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信誉度为负后无法获得来自综合人群、品牌人群的订单。</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20、</w:t>
      </w:r>
      <w:r>
        <w:rPr>
          <w:rFonts w:hint="eastAsia" w:asciiTheme="minorEastAsia" w:hAnsiTheme="minorEastAsia" w:eastAsiaTheme="minorEastAsia" w:cstheme="minorEastAsia"/>
        </w:rPr>
        <w:t>关账</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每轮经营结束关账后，系统自动提供“利润表”和“资产负债表”，自动计算各组的得分。</w:t>
      </w:r>
    </w:p>
    <w:sdt>
      <w:sdtPr>
        <w:rPr>
          <w:rFonts w:ascii="宋体" w:hAnsi="宋体" w:eastAsia="宋体" w:cstheme="minorBidi"/>
          <w:kern w:val="2"/>
          <w:sz w:val="21"/>
          <w:szCs w:val="22"/>
          <w:lang w:val="en-US" w:eastAsia="zh-CN" w:bidi="ar-SA"/>
        </w:rPr>
        <w:id w:val="147469584"/>
        <w15:color w:val="DBDBDB"/>
        <w:docPartObj>
          <w:docPartGallery w:val="Table of Contents"/>
          <w:docPartUnique/>
        </w:docPartObj>
      </w:sdtPr>
      <w:sdtEndPr>
        <w:rPr>
          <w:rFonts w:hint="eastAsia" w:asciiTheme="minorEastAsia" w:hAnsiTheme="minorEastAsia" w:eastAsiaTheme="minorEastAsia" w:cstheme="minorEastAsia"/>
          <w:kern w:val="0"/>
          <w:sz w:val="21"/>
          <w:szCs w:val="28"/>
          <w:lang w:val="en-US" w:eastAsia="zh-CN" w:bidi="ar-SA"/>
        </w:rPr>
      </w:sdtEndPr>
      <w:sdtContent>
        <w:p>
          <w:pPr>
            <w:spacing w:before="0" w:beforeLines="0" w:after="0" w:afterLines="0" w:line="240" w:lineRule="auto"/>
            <w:ind w:left="0" w:leftChars="0" w:right="0" w:rightChars="0" w:firstLine="0" w:firstLineChars="0"/>
            <w:jc w:val="center"/>
            <w:rPr>
              <w:rFonts w:hint="eastAsia" w:asciiTheme="minorEastAsia" w:hAnsiTheme="minorEastAsia" w:eastAsiaTheme="minorEastAsia" w:cstheme="minorEastAsia"/>
              <w:kern w:val="0"/>
              <w:sz w:val="28"/>
              <w:szCs w:val="28"/>
            </w:rPr>
          </w:pPr>
        </w:p>
      </w:sdtContent>
    </w:sdt>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2293232"/>
    </w:sdtPr>
    <w:sdtContent>
      <w:sdt>
        <w:sdtPr>
          <w:id w:val="-1669238322"/>
        </w:sdtPr>
        <w:sdtContent>
          <w:p>
            <w:pPr>
              <w:pStyle w:val="7"/>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10</w:t>
            </w:r>
            <w:r>
              <w:rPr>
                <w:b/>
                <w:bCs/>
                <w:sz w:val="24"/>
                <w:szCs w:val="24"/>
              </w:rPr>
              <w:fldChar w:fldCharType="end"/>
            </w:r>
          </w:p>
        </w:sdtContent>
      </w:sdt>
    </w:sdtContent>
  </w:sdt>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C853AE"/>
    <w:rsid w:val="00280EF5"/>
    <w:rsid w:val="00751788"/>
    <w:rsid w:val="00922EDB"/>
    <w:rsid w:val="00C24A36"/>
    <w:rsid w:val="00F350A4"/>
    <w:rsid w:val="00FB1157"/>
    <w:rsid w:val="00FD10C4"/>
    <w:rsid w:val="01E00E3D"/>
    <w:rsid w:val="05C976BE"/>
    <w:rsid w:val="0EC1443D"/>
    <w:rsid w:val="1094699B"/>
    <w:rsid w:val="11465973"/>
    <w:rsid w:val="16AD08EC"/>
    <w:rsid w:val="1A3D3855"/>
    <w:rsid w:val="1C203186"/>
    <w:rsid w:val="1CFB504A"/>
    <w:rsid w:val="20FC7EAF"/>
    <w:rsid w:val="21096EB4"/>
    <w:rsid w:val="24997E67"/>
    <w:rsid w:val="265E2F0D"/>
    <w:rsid w:val="2BB9077E"/>
    <w:rsid w:val="2F8D1E21"/>
    <w:rsid w:val="31A35DFA"/>
    <w:rsid w:val="332A1C70"/>
    <w:rsid w:val="354B15EE"/>
    <w:rsid w:val="362E1AA0"/>
    <w:rsid w:val="3D6E0958"/>
    <w:rsid w:val="3F262A2A"/>
    <w:rsid w:val="41F36CB0"/>
    <w:rsid w:val="44F2039D"/>
    <w:rsid w:val="4BD65EEC"/>
    <w:rsid w:val="513E1E0A"/>
    <w:rsid w:val="51452AA1"/>
    <w:rsid w:val="55FC0FB0"/>
    <w:rsid w:val="5F53014E"/>
    <w:rsid w:val="65EF5025"/>
    <w:rsid w:val="6A741863"/>
    <w:rsid w:val="6B2B53B3"/>
    <w:rsid w:val="6D925DB7"/>
    <w:rsid w:val="6F7C1361"/>
    <w:rsid w:val="7312137B"/>
    <w:rsid w:val="7E55400A"/>
    <w:rsid w:val="7FC853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12"/>
    <w:qFormat/>
    <w:uiPriority w:val="0"/>
    <w:pPr>
      <w:jc w:val="left"/>
    </w:pPr>
    <w:rPr>
      <w:rFonts w:ascii="Times New Roman" w:hAnsi="Times New Roman"/>
      <w:szCs w:val="24"/>
    </w:r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character" w:customStyle="1" w:styleId="11">
    <w:name w:val="页眉 字符"/>
    <w:basedOn w:val="10"/>
    <w:link w:val="8"/>
    <w:qFormat/>
    <w:uiPriority w:val="0"/>
    <w:rPr>
      <w:kern w:val="2"/>
      <w:sz w:val="18"/>
      <w:szCs w:val="18"/>
    </w:rPr>
  </w:style>
  <w:style w:type="character" w:customStyle="1" w:styleId="12">
    <w:name w:val="批注文字 字符"/>
    <w:link w:val="6"/>
    <w:qFormat/>
    <w:uiPriority w:val="0"/>
    <w:rPr>
      <w:rFonts w:ascii="Times New Roman" w:hAnsi="Times New Roman"/>
      <w:kern w:val="2"/>
      <w:sz w:val="21"/>
      <w:szCs w:val="24"/>
    </w:rPr>
  </w:style>
  <w:style w:type="paragraph" w:customStyle="1" w:styleId="13">
    <w:name w:val="WPSOffice手动目录 1"/>
    <w:qFormat/>
    <w:uiPriority w:val="0"/>
    <w:pPr>
      <w:ind w:leftChars="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1081</Words>
  <Characters>6166</Characters>
  <DocSecurity>0</DocSecurity>
  <Lines>51</Lines>
  <Paragraphs>14</Paragraphs>
  <ScaleCrop>false</ScaleCrop>
  <LinksUpToDate>false</LinksUpToDate>
  <CharactersWithSpaces>7233</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2021-03-14T09:09:00Z</dcterms:created>
  <dcterms:modified xsi:type="dcterms:W3CDTF">2021-03-15T00:45:02Z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